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D" w:rsidRDefault="006A510E" w:rsidP="006A510E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3a</w:t>
      </w:r>
      <w:r w:rsidRPr="006A51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Obowiązujący MPZP – załącznik tekstowy</w:t>
      </w:r>
    </w:p>
    <w:p w:rsidR="006A510E" w:rsidRDefault="006A510E">
      <w:pPr>
        <w:rPr>
          <w:rFonts w:ascii="Arial" w:hAnsi="Arial" w:cs="Arial"/>
          <w:sz w:val="18"/>
          <w:szCs w:val="18"/>
        </w:rPr>
      </w:pPr>
    </w:p>
    <w:p w:rsidR="006A510E" w:rsidRDefault="006A510E" w:rsidP="006A510E">
      <w:pPr>
        <w:pStyle w:val="HTML-wstpniesformatowany"/>
      </w:pPr>
      <w:r>
        <w:t xml:space="preserve">   § 37. 1. Dla  terenu  oznaczonego  na rysunku planu  symbolem  2KDG-Z</w:t>
      </w:r>
    </w:p>
    <w:p w:rsidR="006A510E" w:rsidRDefault="006A510E" w:rsidP="006A510E">
      <w:pPr>
        <w:pStyle w:val="HTML-wstpniesformatowany"/>
      </w:pPr>
      <w:r>
        <w:t>ustala się przeznaczenie – ulice.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 xml:space="preserve">   2. Na  terenie,  o  którym  mowa  w  ust.  1, obowiązują  następujące</w:t>
      </w:r>
    </w:p>
    <w:p w:rsidR="006A510E" w:rsidRDefault="006A510E" w:rsidP="006A510E">
      <w:pPr>
        <w:pStyle w:val="HTML-wstpniesformatowany"/>
      </w:pPr>
      <w:r>
        <w:t>ustalenia dotyczące systemu transportowego: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>1) obowiązuje ulica klasy głównej lub zbiorczej;</w:t>
      </w:r>
    </w:p>
    <w:p w:rsidR="006A510E" w:rsidRDefault="006A510E" w:rsidP="006A510E">
      <w:pPr>
        <w:pStyle w:val="HTML-wstpniesformatowany"/>
      </w:pPr>
      <w:r>
        <w:t>2) szerokość  ulicy  w  liniach  rozgraniczających  zgodnie  z rysunkiem</w:t>
      </w:r>
    </w:p>
    <w:p w:rsidR="006A510E" w:rsidRDefault="006A510E" w:rsidP="006A510E">
      <w:pPr>
        <w:pStyle w:val="HTML-wstpniesformatowany"/>
      </w:pPr>
      <w:r>
        <w:t xml:space="preserve">   planu,  przy  czym  w  miejscu  wskazanym na rysunku planu obowiązuje</w:t>
      </w:r>
    </w:p>
    <w:p w:rsidR="006A510E" w:rsidRDefault="006A510E" w:rsidP="006A510E">
      <w:pPr>
        <w:pStyle w:val="HTML-wstpniesformatowany"/>
      </w:pPr>
      <w:r>
        <w:t xml:space="preserve">   szerokość w liniach rozgraniczających 48,2 m;</w:t>
      </w:r>
    </w:p>
    <w:p w:rsidR="006A510E" w:rsidRDefault="006A510E" w:rsidP="006A510E">
      <w:pPr>
        <w:pStyle w:val="HTML-wstpniesformatowany"/>
      </w:pPr>
      <w:r>
        <w:t>3) obowiązuje torowisko tramwajowe;</w:t>
      </w:r>
    </w:p>
    <w:p w:rsidR="006A510E" w:rsidRDefault="006A510E" w:rsidP="006A510E">
      <w:pPr>
        <w:pStyle w:val="HTML-wstpniesformatowany"/>
      </w:pPr>
      <w:r>
        <w:t>4) przystanki  tramwajowe  należy  usytuować  w  rejonie  ciągu pieszego</w:t>
      </w:r>
    </w:p>
    <w:p w:rsidR="006A510E" w:rsidRDefault="006A510E" w:rsidP="006A510E">
      <w:pPr>
        <w:pStyle w:val="HTML-wstpniesformatowany"/>
      </w:pPr>
      <w:r>
        <w:t xml:space="preserve">   i trasy rowerowej, o których mowa w § 15 ust. 3 pkt 1 lit. a;</w:t>
      </w:r>
    </w:p>
    <w:p w:rsidR="006A510E" w:rsidRDefault="006A510E" w:rsidP="006A510E">
      <w:pPr>
        <w:pStyle w:val="HTML-wstpniesformatowany"/>
      </w:pPr>
      <w:r>
        <w:t>5) elementy  ulicy  klasy  głównej  lub  zbiorczej,  z wyjątkiem  jezdni</w:t>
      </w:r>
    </w:p>
    <w:p w:rsidR="006A510E" w:rsidRDefault="006A510E" w:rsidP="006A510E">
      <w:pPr>
        <w:pStyle w:val="HTML-wstpniesformatowany"/>
      </w:pPr>
      <w:r>
        <w:t xml:space="preserve">   i torowiska tramwajowego, dopuszcza się zgodnie z ustaleniami:</w:t>
      </w:r>
    </w:p>
    <w:p w:rsidR="006A510E" w:rsidRDefault="006A510E" w:rsidP="006A510E">
      <w:pPr>
        <w:pStyle w:val="HTML-wstpniesformatowany"/>
      </w:pPr>
      <w:r>
        <w:t xml:space="preserve">   a) w § 32 ust. 3 pkt 1,</w:t>
      </w:r>
    </w:p>
    <w:p w:rsidR="006A510E" w:rsidRDefault="006A510E" w:rsidP="006A510E">
      <w:pPr>
        <w:pStyle w:val="HTML-wstpniesformatowany"/>
      </w:pPr>
      <w:r>
        <w:t xml:space="preserve">   b) w § 34 ust. 4 pkt 1 i 2,</w:t>
      </w:r>
    </w:p>
    <w:p w:rsidR="006A510E" w:rsidRDefault="006A510E" w:rsidP="006A510E">
      <w:pPr>
        <w:pStyle w:val="HTML-wstpniesformatowany"/>
      </w:pPr>
      <w:r>
        <w:t xml:space="preserve">   c) w § 35 ust. 3 pkt 1 i 2,</w:t>
      </w:r>
    </w:p>
    <w:p w:rsidR="006A510E" w:rsidRDefault="006A510E" w:rsidP="006A510E">
      <w:pPr>
        <w:pStyle w:val="HTML-wstpniesformatowany"/>
      </w:pPr>
      <w:r>
        <w:t xml:space="preserve">   d) w § 39 ust. 2 pkt 4,</w:t>
      </w:r>
    </w:p>
    <w:p w:rsidR="006A510E" w:rsidRDefault="006A510E" w:rsidP="006A510E">
      <w:pPr>
        <w:pStyle w:val="HTML-wstpniesformatowany"/>
      </w:pPr>
      <w:r>
        <w:t xml:space="preserve">   e) w § 42 ust. 2 pkt 4 lit. b.</w:t>
      </w:r>
    </w:p>
    <w:p w:rsidR="006A510E" w:rsidRDefault="006A510E" w:rsidP="006A510E">
      <w:pPr>
        <w:pStyle w:val="HTML-wstpniesformatowany"/>
        <w:jc w:val="both"/>
        <w:rPr>
          <w:rFonts w:ascii="Arial" w:hAnsi="Arial" w:cs="Arial"/>
          <w:sz w:val="18"/>
          <w:szCs w:val="18"/>
        </w:rPr>
      </w:pPr>
    </w:p>
    <w:p w:rsidR="006A510E" w:rsidRDefault="006A510E" w:rsidP="006A510E">
      <w:pPr>
        <w:pStyle w:val="HTML-wstpniesformatowany"/>
        <w:jc w:val="both"/>
        <w:rPr>
          <w:rFonts w:ascii="Arial" w:hAnsi="Arial" w:cs="Arial"/>
          <w:sz w:val="18"/>
          <w:szCs w:val="18"/>
        </w:rPr>
      </w:pPr>
    </w:p>
    <w:p w:rsidR="006A510E" w:rsidRDefault="006A510E" w:rsidP="006A510E">
      <w:pPr>
        <w:pStyle w:val="HTML-wstpniesformatowany"/>
      </w:pPr>
      <w:r>
        <w:t xml:space="preserve">   § 25. 1. Dla  terenów  oznaczonych na rysunku planu  symbolami  7U/1,</w:t>
      </w:r>
    </w:p>
    <w:p w:rsidR="006A510E" w:rsidRDefault="006A510E" w:rsidP="006A510E">
      <w:pPr>
        <w:pStyle w:val="HTML-wstpniesformatowany"/>
      </w:pPr>
      <w:r>
        <w:t>7U/2, 7U/3 ustala się przeznaczenie: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>1) usługi I;</w:t>
      </w:r>
    </w:p>
    <w:p w:rsidR="006A510E" w:rsidRDefault="006A510E" w:rsidP="006A510E">
      <w:pPr>
        <w:pStyle w:val="HTML-wstpniesformatowany"/>
      </w:pPr>
      <w:r>
        <w:t>2) usługi II;</w:t>
      </w:r>
    </w:p>
    <w:p w:rsidR="006A510E" w:rsidRDefault="006A510E" w:rsidP="006A510E">
      <w:pPr>
        <w:pStyle w:val="HTML-wstpniesformatowany"/>
      </w:pPr>
      <w:r>
        <w:t>3) zieleń;</w:t>
      </w:r>
    </w:p>
    <w:p w:rsidR="006A510E" w:rsidRDefault="006A510E" w:rsidP="006A510E">
      <w:pPr>
        <w:pStyle w:val="HTML-wstpniesformatowany"/>
      </w:pPr>
      <w:r>
        <w:t>4) obiekty infrastruktury drogowej;</w:t>
      </w:r>
    </w:p>
    <w:p w:rsidR="006A510E" w:rsidRDefault="006A510E" w:rsidP="006A510E">
      <w:pPr>
        <w:pStyle w:val="HTML-wstpniesformatowany"/>
      </w:pPr>
      <w:r>
        <w:t>5) obiekty infrastruktury technicznej.</w:t>
      </w:r>
    </w:p>
    <w:p w:rsidR="006A510E" w:rsidRDefault="006A510E" w:rsidP="006A510E">
      <w:pPr>
        <w:pStyle w:val="HTML-wstpniesformatowany"/>
        <w:jc w:val="both"/>
        <w:rPr>
          <w:rFonts w:ascii="Arial" w:hAnsi="Arial" w:cs="Arial"/>
          <w:sz w:val="18"/>
          <w:szCs w:val="18"/>
        </w:rPr>
      </w:pPr>
    </w:p>
    <w:p w:rsidR="006A510E" w:rsidRDefault="006A510E" w:rsidP="006A510E">
      <w:pPr>
        <w:pStyle w:val="HTML-wstpniesformatowany"/>
      </w:pPr>
      <w:r>
        <w:t>2.  Na  terenach,  o  których  mowa  w ust. 1, obowiązują następujące</w:t>
      </w:r>
    </w:p>
    <w:p w:rsidR="006A510E" w:rsidRDefault="006A510E" w:rsidP="006A510E">
      <w:pPr>
        <w:pStyle w:val="HTML-wstpniesformatowany"/>
      </w:pPr>
      <w:r>
        <w:t>ustalenia dotyczące ukształtowania zabudowy i zagospodarowania terenu: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 xml:space="preserve">1) wymiar  pionowy  budynku  lub  budowli </w:t>
      </w:r>
      <w:proofErr w:type="spellStart"/>
      <w:r>
        <w:t>przekrytej</w:t>
      </w:r>
      <w:proofErr w:type="spellEnd"/>
      <w:r>
        <w:t xml:space="preserve"> dachem, mierzony od</w:t>
      </w:r>
    </w:p>
    <w:p w:rsidR="006A510E" w:rsidRDefault="006A510E" w:rsidP="006A510E">
      <w:pPr>
        <w:pStyle w:val="HTML-wstpniesformatowany"/>
      </w:pPr>
      <w:r>
        <w:t xml:space="preserve">   poziomu terenu przy budynku lub budowli do:</w:t>
      </w:r>
    </w:p>
    <w:p w:rsidR="006A510E" w:rsidRDefault="006A510E" w:rsidP="006A510E">
      <w:pPr>
        <w:pStyle w:val="HTML-wstpniesformatowany"/>
      </w:pPr>
      <w:r>
        <w:t xml:space="preserve">   a) najwyższego punktu pokrycia dachu  i do najwyższego punktu obudowy</w:t>
      </w:r>
    </w:p>
    <w:p w:rsidR="006A510E" w:rsidRDefault="006A510E" w:rsidP="006A510E">
      <w:pPr>
        <w:pStyle w:val="HTML-wstpniesformatowany"/>
      </w:pPr>
      <w:r>
        <w:t xml:space="preserve">      estetycznej nie może być większy niż 25 m,</w:t>
      </w:r>
    </w:p>
    <w:p w:rsidR="006A510E" w:rsidRDefault="006A510E" w:rsidP="006A510E">
      <w:pPr>
        <w:pStyle w:val="HTML-wstpniesformatowany"/>
      </w:pPr>
      <w:r>
        <w:t xml:space="preserve">   b) najniższego punktu pokrycia dachu nie może być mniejszy niż 15 m;</w:t>
      </w:r>
    </w:p>
    <w:p w:rsidR="006A510E" w:rsidRDefault="006A510E" w:rsidP="006A510E">
      <w:pPr>
        <w:pStyle w:val="HTML-wstpniesformatowany"/>
      </w:pPr>
      <w:r>
        <w:t>2) obowiązuje  równoległość  zewnętrznych  krawędzi  zewnętrznych  ścian</w:t>
      </w:r>
    </w:p>
    <w:p w:rsidR="006A510E" w:rsidRDefault="006A510E" w:rsidP="006A510E">
      <w:pPr>
        <w:pStyle w:val="HTML-wstpniesformatowany"/>
      </w:pPr>
      <w:r>
        <w:t xml:space="preserve">   budynków   w   stosunku   do   dowolnych,   wyznaczonych  na  terenie </w:t>
      </w:r>
    </w:p>
    <w:p w:rsidR="006A510E" w:rsidRDefault="006A510E" w:rsidP="006A510E">
      <w:pPr>
        <w:pStyle w:val="HTML-wstpniesformatowany"/>
      </w:pPr>
      <w:r>
        <w:t xml:space="preserve">   nieprzekraczalnych  linii zabudowy, obowiązujących linii zabudowy lub</w:t>
      </w:r>
    </w:p>
    <w:p w:rsidR="006A510E" w:rsidRDefault="006A510E" w:rsidP="006A510E">
      <w:pPr>
        <w:pStyle w:val="HTML-wstpniesformatowany"/>
      </w:pPr>
      <w:r>
        <w:t xml:space="preserve">   obowiązujących ciągłych linii zabudowy, z dokładnością do 3</w:t>
      </w:r>
      <w:r>
        <w:rPr>
          <w:vertAlign w:val="superscript"/>
        </w:rPr>
        <w:t>o</w:t>
      </w:r>
      <w:r>
        <w:t>;</w:t>
      </w:r>
    </w:p>
    <w:p w:rsidR="006A510E" w:rsidRDefault="006A510E" w:rsidP="006A510E">
      <w:pPr>
        <w:pStyle w:val="HTML-wstpniesformatowany"/>
      </w:pPr>
      <w:r>
        <w:t>3) na  terenach  7U/1  i  7U/2  obowiązują główne wejścia do budynków od</w:t>
      </w:r>
    </w:p>
    <w:p w:rsidR="006A510E" w:rsidRDefault="006A510E" w:rsidP="006A510E">
      <w:pPr>
        <w:pStyle w:val="HTML-wstpniesformatowany"/>
      </w:pPr>
      <w:r>
        <w:t xml:space="preserve">   stron wskazanych na rysunku planu;</w:t>
      </w:r>
    </w:p>
    <w:p w:rsidR="006A510E" w:rsidRDefault="006A510E" w:rsidP="006A510E">
      <w:pPr>
        <w:pStyle w:val="HTML-wstpniesformatowany"/>
      </w:pPr>
      <w:r>
        <w:t>4) zabudowie  musi  towarzyszyć teren biologicznie czynny  o powierzchni</w:t>
      </w:r>
    </w:p>
    <w:p w:rsidR="006A510E" w:rsidRDefault="006A510E" w:rsidP="006A510E">
      <w:pPr>
        <w:pStyle w:val="HTML-wstpniesformatowany"/>
      </w:pPr>
      <w:r>
        <w:t xml:space="preserve">   równej co najmniej:</w:t>
      </w:r>
    </w:p>
    <w:p w:rsidR="006A510E" w:rsidRDefault="006A510E" w:rsidP="006A510E">
      <w:pPr>
        <w:pStyle w:val="HTML-wstpniesformatowany"/>
      </w:pPr>
      <w:r>
        <w:t xml:space="preserve">   a) 20% powierzchni działki budowlanej dla terenu 7U/1,</w:t>
      </w:r>
    </w:p>
    <w:p w:rsidR="006A510E" w:rsidRDefault="006A510E" w:rsidP="006A510E">
      <w:pPr>
        <w:pStyle w:val="HTML-wstpniesformatowany"/>
      </w:pPr>
      <w:r>
        <w:t xml:space="preserve">   b) 30% powierzchni działki budowlanej dla terenu 7U/2,</w:t>
      </w:r>
    </w:p>
    <w:p w:rsidR="006A510E" w:rsidRDefault="006A510E" w:rsidP="006A510E">
      <w:pPr>
        <w:pStyle w:val="HTML-wstpniesformatowany"/>
      </w:pPr>
      <w:r>
        <w:t xml:space="preserve">   c) 30% powierzchni działki budowlanej dla terenu 7U/3,</w:t>
      </w:r>
    </w:p>
    <w:p w:rsidR="006A510E" w:rsidRDefault="006A510E" w:rsidP="006A510E">
      <w:pPr>
        <w:pStyle w:val="HTML-wstpniesformatowany"/>
      </w:pPr>
      <w:r>
        <w:t>z zastrzeżeniem pkt 5;</w:t>
      </w:r>
    </w:p>
    <w:p w:rsidR="006A510E" w:rsidRDefault="006A510E" w:rsidP="006A510E">
      <w:pPr>
        <w:pStyle w:val="HTML-wstpniesformatowany"/>
      </w:pPr>
      <w:r>
        <w:t>5) teren biologicznie czynny, o którym mowa w:</w:t>
      </w:r>
    </w:p>
    <w:p w:rsidR="006A510E" w:rsidRDefault="006A510E" w:rsidP="006A510E">
      <w:pPr>
        <w:pStyle w:val="HTML-wstpniesformatowany"/>
      </w:pPr>
      <w:r>
        <w:t xml:space="preserve">   a) pkt 4 lit. a może zostać usytuowany w całości na terenie  7U/1 lub</w:t>
      </w:r>
    </w:p>
    <w:p w:rsidR="006A510E" w:rsidRDefault="006A510E" w:rsidP="006A510E">
      <w:pPr>
        <w:pStyle w:val="HTML-wstpniesformatowany"/>
      </w:pPr>
      <w:r>
        <w:t xml:space="preserve">      na terenie 16KDPR-ZP lub w części na obu terenach,</w:t>
      </w:r>
    </w:p>
    <w:p w:rsidR="006A510E" w:rsidRDefault="006A510E" w:rsidP="006A510E">
      <w:pPr>
        <w:pStyle w:val="HTML-wstpniesformatowany"/>
      </w:pPr>
      <w:r>
        <w:t xml:space="preserve">   b) pkt 4 lit. b może zostać usytuowany w całości na terenie  7U/2 lub</w:t>
      </w:r>
    </w:p>
    <w:p w:rsidR="006A510E" w:rsidRDefault="006A510E" w:rsidP="006A510E">
      <w:pPr>
        <w:pStyle w:val="HTML-wstpniesformatowany"/>
      </w:pPr>
      <w:r>
        <w:t xml:space="preserve">      na terenie 16KDPR-ZP lub w części na obu terenach,</w:t>
      </w:r>
    </w:p>
    <w:p w:rsidR="006A510E" w:rsidRDefault="006A510E" w:rsidP="006A510E">
      <w:pPr>
        <w:pStyle w:val="HTML-wstpniesformatowany"/>
      </w:pPr>
      <w:r>
        <w:t xml:space="preserve">   c) pkt 4 lit. c może zostać usytuowany w całości na terenie  7U/3 lub</w:t>
      </w:r>
    </w:p>
    <w:p w:rsidR="006A510E" w:rsidRDefault="006A510E" w:rsidP="006A510E">
      <w:pPr>
        <w:pStyle w:val="HTML-wstpniesformatowany"/>
      </w:pPr>
      <w:r>
        <w:t xml:space="preserve">      na terenie 17KDPR-ZP/2 lub w części na obu terenach;</w:t>
      </w:r>
    </w:p>
    <w:p w:rsidR="006A510E" w:rsidRDefault="006A510E" w:rsidP="006A510E">
      <w:pPr>
        <w:pStyle w:val="HTML-wstpniesformatowany"/>
      </w:pPr>
      <w:r>
        <w:t>6) nie dopuszcza się ogrodzeń;</w:t>
      </w:r>
    </w:p>
    <w:p w:rsidR="006A510E" w:rsidRDefault="006A510E" w:rsidP="006A510E">
      <w:pPr>
        <w:pStyle w:val="HTML-wstpniesformatowany"/>
      </w:pPr>
      <w:r>
        <w:t>7) stacje  transformatorowe   i   miejsca  gromadzenia  odpadów  stałych</w:t>
      </w:r>
    </w:p>
    <w:p w:rsidR="006A510E" w:rsidRDefault="006A510E" w:rsidP="006A510E">
      <w:pPr>
        <w:pStyle w:val="HTML-wstpniesformatowany"/>
      </w:pPr>
      <w:r>
        <w:lastRenderedPageBreak/>
        <w:t xml:space="preserve">   dopuszcza  się  wyłącznie  jako  podziemne lub jako obiekty wbudowane</w:t>
      </w:r>
    </w:p>
    <w:p w:rsidR="006A510E" w:rsidRDefault="006A510E" w:rsidP="006A510E">
      <w:pPr>
        <w:pStyle w:val="HTML-wstpniesformatowany"/>
      </w:pPr>
      <w:r>
        <w:t xml:space="preserve">   w budynek.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 xml:space="preserve">   3. Na  terenach,  o  których  mowa  w ust. 1, obowiązują  następujące</w:t>
      </w:r>
    </w:p>
    <w:p w:rsidR="006A510E" w:rsidRDefault="006A510E" w:rsidP="006A510E">
      <w:pPr>
        <w:pStyle w:val="HTML-wstpniesformatowany"/>
      </w:pPr>
      <w:r>
        <w:t>ustalenia dotyczące systemu transportowego:</w:t>
      </w:r>
    </w:p>
    <w:p w:rsidR="006A510E" w:rsidRDefault="006A510E" w:rsidP="006A510E">
      <w:pPr>
        <w:pStyle w:val="HTML-wstpniesformatowany"/>
      </w:pPr>
    </w:p>
    <w:p w:rsidR="006A510E" w:rsidRDefault="006A510E" w:rsidP="006A510E">
      <w:pPr>
        <w:pStyle w:val="HTML-wstpniesformatowany"/>
      </w:pPr>
      <w:r>
        <w:t>1) co  najwyżej  40%  miejsc  postojowych, o których mowa  w § 15 ust. 2</w:t>
      </w:r>
    </w:p>
    <w:p w:rsidR="006A510E" w:rsidRDefault="006A510E" w:rsidP="006A510E">
      <w:pPr>
        <w:pStyle w:val="HTML-wstpniesformatowany"/>
      </w:pPr>
      <w:r>
        <w:t xml:space="preserve">   pkt 1, dopuszcza się w parkingach terenowych otwartych;</w:t>
      </w:r>
    </w:p>
    <w:p w:rsidR="006A510E" w:rsidRDefault="006A510E" w:rsidP="006A510E">
      <w:pPr>
        <w:pStyle w:val="HTML-wstpniesformatowany"/>
      </w:pPr>
      <w:r>
        <w:t>2) obiektów do parkowania pojazdów samochodowych,  z wyjątkiem ramp, nie</w:t>
      </w:r>
    </w:p>
    <w:p w:rsidR="006A510E" w:rsidRDefault="006A510E" w:rsidP="006A510E">
      <w:pPr>
        <w:pStyle w:val="HTML-wstpniesformatowany"/>
      </w:pPr>
      <w:r>
        <w:t xml:space="preserve">   dopuszcza się na pierwszej kondygnacji nadziemnej;</w:t>
      </w:r>
    </w:p>
    <w:p w:rsidR="006A510E" w:rsidRDefault="006A510E" w:rsidP="006A510E">
      <w:pPr>
        <w:pStyle w:val="HTML-wstpniesformatowany"/>
      </w:pPr>
      <w:r>
        <w:t>3) miejsca postojowe, o których mowa w § 15 ust. 2 pkt 1:</w:t>
      </w:r>
    </w:p>
    <w:p w:rsidR="006A510E" w:rsidRDefault="006A510E" w:rsidP="006A510E">
      <w:pPr>
        <w:pStyle w:val="HTML-wstpniesformatowany"/>
      </w:pPr>
      <w:r>
        <w:t xml:space="preserve">   a) na  terenach  7U/1  i  7U/2  dopuszcza  się  na terenie, na którym</w:t>
      </w:r>
    </w:p>
    <w:p w:rsidR="006A510E" w:rsidRDefault="006A510E" w:rsidP="006A510E">
      <w:pPr>
        <w:pStyle w:val="HTML-wstpniesformatowany"/>
      </w:pPr>
      <w:r>
        <w:t xml:space="preserve">      usytuowany  jest obiekt,  któremu  te  miejsca towarzyszą  oraz na </w:t>
      </w:r>
    </w:p>
    <w:p w:rsidR="006A510E" w:rsidRDefault="006A510E" w:rsidP="006A510E">
      <w:pPr>
        <w:pStyle w:val="HTML-wstpniesformatowany"/>
      </w:pPr>
      <w:r>
        <w:t xml:space="preserve">      terenie 16KDPR-ZP,</w:t>
      </w:r>
    </w:p>
    <w:p w:rsidR="006A510E" w:rsidRDefault="006A510E" w:rsidP="006A510E">
      <w:pPr>
        <w:pStyle w:val="HTML-wstpniesformatowany"/>
      </w:pPr>
      <w:r>
        <w:t xml:space="preserve">   b) na  terenie  7U/3  dopuszcza się na terenie, na którym  usytuowany</w:t>
      </w:r>
    </w:p>
    <w:p w:rsidR="006A510E" w:rsidRDefault="006A510E" w:rsidP="006A510E">
      <w:pPr>
        <w:pStyle w:val="HTML-wstpniesformatowany"/>
      </w:pPr>
      <w:r>
        <w:t xml:space="preserve">      jest  obiekt,  któremu  te  miejsca  towarzyszą  oraz  na  terenie </w:t>
      </w:r>
    </w:p>
    <w:p w:rsidR="006A510E" w:rsidRDefault="006A510E" w:rsidP="006A510E">
      <w:pPr>
        <w:pStyle w:val="HTML-wstpniesformatowany"/>
      </w:pPr>
      <w:r>
        <w:t xml:space="preserve">      17KDPR-ZP/2.</w:t>
      </w:r>
    </w:p>
    <w:p w:rsidR="006A510E" w:rsidRDefault="006A510E"/>
    <w:sectPr w:rsidR="006A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0E"/>
    <w:rsid w:val="006A510E"/>
    <w:rsid w:val="00CA4E5D"/>
    <w:rsid w:val="00E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510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5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510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Mikoda Ireneusz</dc:creator>
  <cp:lastModifiedBy>Maria Synówka</cp:lastModifiedBy>
  <cp:revision>2</cp:revision>
  <dcterms:created xsi:type="dcterms:W3CDTF">2019-06-02T13:57:00Z</dcterms:created>
  <dcterms:modified xsi:type="dcterms:W3CDTF">2019-06-02T13:57:00Z</dcterms:modified>
</cp:coreProperties>
</file>